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含山县城乡医疗卫生整体服务能力提升项目之ICU多功能床采购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KRHS2025234</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含山县城乡医疗卫生整体服务能力提升项目之ICU多功能床采购</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含山县城乡医疗卫生整体服务能力提升项目之ICU多功能床采购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KRHS2025234</w:t>
      </w:r>
    </w:p>
    <w:p w14:paraId="3113CD3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含山县城乡医疗卫生整体服务能力提升项目之ICU多功能床采购</w:t>
      </w:r>
    </w:p>
    <w:p w14:paraId="4B147D9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29.8万</w:t>
      </w:r>
      <w:r>
        <w:rPr>
          <w:rFonts w:hint="eastAsia" w:ascii="仿宋" w:hAnsi="仿宋" w:eastAsia="仿宋"/>
          <w:b w:val="0"/>
          <w:color w:val="000000"/>
          <w:sz w:val="28"/>
          <w:szCs w:val="28"/>
        </w:rPr>
        <w:t>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29.8万</w:t>
      </w:r>
      <w:r>
        <w:rPr>
          <w:rFonts w:hint="eastAsia" w:ascii="仿宋" w:hAnsi="仿宋" w:eastAsia="仿宋"/>
          <w:b w:val="0"/>
          <w:color w:val="000000"/>
          <w:sz w:val="28"/>
          <w:szCs w:val="28"/>
        </w:rPr>
        <w:t>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含山县城乡医疗卫生整体服务能力提升项目之ICU多功能床采购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11</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20</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lang w:val="en-US" w:eastAsia="zh-CN"/>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r>
        <w:rPr>
          <w:rFonts w:hint="eastAsia" w:ascii="仿宋" w:hAnsi="仿宋" w:eastAsia="仿宋"/>
          <w:b w:val="0"/>
          <w:bCs/>
          <w:color w:val="000000"/>
          <w:sz w:val="28"/>
          <w:szCs w:val="28"/>
          <w:lang w:eastAsia="zh-CN"/>
        </w:rPr>
        <w:t>。</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25481"/>
      <w:bookmarkStart w:id="3" w:name="_Toc10797"/>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含山县城乡医疗卫生整体服务能力提升项目之ICU多功能床采购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KRHS2025234</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多功能床（配减压床垫）</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12</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张</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32D35A06">
      <w:pPr>
        <w:keepNext w:val="0"/>
        <w:keepLines w:val="0"/>
        <w:widowControl/>
        <w:numPr>
          <w:ilvl w:val="0"/>
          <w:numId w:val="0"/>
        </w:numPr>
        <w:suppressLineNumbers w:val="0"/>
        <w:jc w:val="left"/>
        <w:rPr>
          <w:rFonts w:hint="default" w:ascii="宋体" w:hAnsi="宋体" w:eastAsia="宋体" w:cs="宋体"/>
          <w:b/>
          <w:bCs/>
          <w:sz w:val="32"/>
          <w:szCs w:val="32"/>
          <w:lang w:val="en-US" w:eastAsia="zh-CN"/>
        </w:rPr>
      </w:pPr>
      <w:r>
        <w:rPr>
          <w:rFonts w:hint="eastAsia" w:ascii="宋体" w:hAnsi="宋体" w:cs="宋体"/>
          <w:b/>
          <w:bCs/>
          <w:sz w:val="32"/>
          <w:szCs w:val="32"/>
          <w:lang w:val="en-US" w:eastAsia="zh-CN"/>
        </w:rPr>
        <w:t>1、多功能床（配减压床垫）</w:t>
      </w:r>
    </w:p>
    <w:p w14:paraId="1549474F">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★1规格：床板长2000mm±10mm,全长2210mm±10mm;床板宽860mm±10mm,全宽980mm±10mm(</w:t>
      </w:r>
    </w:p>
    <w:p w14:paraId="7D7A2A50">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竖起侧护栏时)/1005mm(降下侧护栏时),高低升降范围425～775mm,床体升降行程350mm(床板到地面的高度)。</w:t>
      </w:r>
    </w:p>
    <w:p w14:paraId="3F3273F4">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2、体位调节功能：背部上升0-70°;腿部上升0-25°;高低升降425-775mm;前后倾斜0-12°,一键心脏椅位，SSR后延位等功能。</w:t>
      </w:r>
    </w:p>
    <w:p w14:paraId="51438F4D">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■3、一键心脏椅位：一个按键自动完成调整(背部达到70°和腿部达到25°)后，整体倾斜12°达到心脏椅位。</w:t>
      </w:r>
    </w:p>
    <w:p w14:paraId="2F1A38C9">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3.1、一键复位：一个按键完成背部床板角度、膝部床板角度和电动床的倾斜角度可以调节到0°(水平)。</w:t>
      </w:r>
    </w:p>
    <w:p w14:paraId="1EC440C6">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3.2、设有一键紧急旋转式停止开关、遇紧急情况一键暂停。</w:t>
      </w:r>
    </w:p>
    <w:p w14:paraId="3B9EF89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■5.1具有SSR(Stress-SaverRaise)TM功能：当患者部分升起时，床体后部部分会延伸以适应自然的坐姿。</w:t>
      </w:r>
    </w:p>
    <w:p w14:paraId="1E226B5D">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■5.2床板采用优质冷轧钢板一次冲压成型，床面板带有透气孔，定制高强度螺丝及垫套：关</w:t>
      </w:r>
    </w:p>
    <w:p w14:paraId="6EA70512">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节链接螺丝为高强度，长时间使用不会松动，床结实耐用。</w:t>
      </w:r>
    </w:p>
    <w:p w14:paraId="58818D6A">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■5.4喷涂工艺：采用电泳+粉末双重喷涂方式。</w:t>
      </w:r>
    </w:p>
    <w:p w14:paraId="187F561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6.1新型四片式分体式升降护栏，可随床体的功能同时动作。</w:t>
      </w:r>
    </w:p>
    <w:p w14:paraId="66E5A1AC">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★6.2安全型护栏，护栏在受由内向外压力时无法打开，需受外向内压力方可打开。</w:t>
      </w:r>
    </w:p>
    <w:p w14:paraId="245561A7">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6.3前后护栏均设置角度显示器，可清晰显示背部床板升起角度及床体倾斜角度。</w:t>
      </w:r>
    </w:p>
    <w:p w14:paraId="5A80A154">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6.4前侧护栏上设置蓄电池电量显示器，可清晰显示蓄电池状态。</w:t>
      </w:r>
    </w:p>
    <w:p w14:paraId="17F7D2D4">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■6.5前侧护栏上设置病床最低位显示灯，可清晰显示病床是否达到最低安全位置。控制器：可</w:t>
      </w:r>
    </w:p>
    <w:p w14:paraId="03757903">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选择手持线性控制器或护栏控制器</w:t>
      </w:r>
    </w:p>
    <w:p w14:paraId="51B2BCDF">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(1)手持线型控制器：设有电池指示灯并设有锁定按键。手持遥控器经久耐用、耐摔，在≥1米的高度下自由摔落1000次应无任何损坏，无安全危险，无绝缘击穿。</w:t>
      </w:r>
    </w:p>
    <w:p w14:paraId="2BB0700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(2)护栏控制器：护栏内侧具有患者控制器，护栏外侧设有医护人员控制器。</w:t>
      </w:r>
    </w:p>
    <w:p w14:paraId="32911E8A">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(3)医护人员控制器：可操作病床的所有功能，具备锁定功能，可以锁定医护人员控制器及患者控制器。</w:t>
      </w:r>
    </w:p>
    <w:p w14:paraId="4DDB970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8.床头两侧均有CPR释放手柄。</w:t>
      </w:r>
    </w:p>
    <w:p w14:paraId="6CFEAD26">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9.电机：具有不少于4个医用静音电机。</w:t>
      </w:r>
    </w:p>
    <w:p w14:paraId="1629E3C0">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10.脚轮直径≥125mm脚轮。</w:t>
      </w:r>
    </w:p>
    <w:p w14:paraId="2D268AAF">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11.中控刹车：具有锁定、自由、定向三段式跷跷板中央控制锁定装置；防腐蚀，耐酸性佳，静音，防缠绕。</w:t>
      </w:r>
    </w:p>
    <w:p w14:paraId="329A697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■12.1可拆卸式床头、床尾板，采用聚乙烯(PE)树脂材料一体吹塑成型，具有锁定装置，头尾</w:t>
      </w:r>
    </w:p>
    <w:p w14:paraId="37B47EDA">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板均有把握手柄，分别设计≥2处推行防滑坡度设计。床头尾板上有模压成型的原材料(HDPE)标识，原材料为环保材料。床尾板设置安全指示标签。</w:t>
      </w:r>
    </w:p>
    <w:p w14:paraId="09A4AD4C">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12.2病床升降时床头板高度不变，头尾板均有把握手柄。</w:t>
      </w:r>
    </w:p>
    <w:p w14:paraId="2E3A5672">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13.具有备用电池，蓄电池接头为快插快拔设计。</w:t>
      </w:r>
    </w:p>
    <w:p w14:paraId="3D1A0D48">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14.1滚珠式角度指示器，30°具备特别标注。</w:t>
      </w:r>
    </w:p>
    <w:p w14:paraId="4C4110C7">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14.2角度指示器内置于四个护栏外侧</w:t>
      </w:r>
    </w:p>
    <w:p w14:paraId="3D9F08E8">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15.具备污物袋挂钩，床板两侧，各设置挂钩2组，每组3个共6个。</w:t>
      </w:r>
    </w:p>
    <w:p w14:paraId="1A49A2B7">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16.四角外伸式输液架插孔</w:t>
      </w:r>
    </w:p>
    <w:p w14:paraId="2D327A8E">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17.床板两侧设置多处束缚装置。</w:t>
      </w:r>
    </w:p>
    <w:p w14:paraId="2516773D">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18.可选配床体延长配件，脚部床段可延伸10cm。</w:t>
      </w:r>
    </w:p>
    <w:p w14:paraId="7C3E63F7">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rPr>
        <w:t>19床垫：与床体为同一品牌减压床垫。</w:t>
      </w:r>
    </w:p>
    <w:p w14:paraId="5CCE9C46">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(1)尺寸：2000x860x100mm±10mm</w:t>
      </w:r>
    </w:p>
    <w:p w14:paraId="3EC3BD5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(2)■外套：优质针织水洗面料，表面具有薄膜复合弹性体、物性佳、各种机械强度都很好；</w:t>
      </w:r>
    </w:p>
    <w:p w14:paraId="0BB31C7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强韧和耐老化，防水透气；内层TPU薄膜复合，经防霉、抗菌、阻燃处理，可阻挡病菌，阻抗血融病原菌等多种病菌；尾部拉链式设计，面料可拆卸水洗，</w:t>
      </w:r>
    </w:p>
    <w:p w14:paraId="658F1A5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(3)■内芯：适合人体曲线的软硬双层记忆海绵，可有效分散人体压力，延迟褥疮的发生，床垫厚度≥10cm,海绵密度≥25kg/m3。</w:t>
      </w:r>
    </w:p>
    <w:p w14:paraId="671EA161">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注： </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w:t>
      </w:r>
      <w:r>
        <w:rPr>
          <w:rFonts w:hint="eastAsia" w:ascii="宋体" w:hAnsi="宋体" w:eastAsia="宋体"/>
          <w:b/>
          <w:bCs/>
          <w:color w:val="000000"/>
          <w:sz w:val="24"/>
          <w:szCs w:val="24"/>
          <w:lang w:val="en-US" w:eastAsia="zh-CN"/>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27789"/>
      <w:bookmarkStart w:id="7" w:name="_Toc6543"/>
      <w:bookmarkStart w:id="8" w:name="_Toc13560"/>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3985"/>
      <w:bookmarkStart w:id="16" w:name="_Toc13353"/>
      <w:bookmarkStart w:id="17" w:name="_Toc24994"/>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29125"/>
      <w:bookmarkStart w:id="20" w:name="_Toc18071"/>
      <w:bookmarkStart w:id="21" w:name="_Toc1249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7001"/>
      <w:bookmarkStart w:id="23" w:name="_Toc31015"/>
      <w:bookmarkStart w:id="24" w:name="_Toc1464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1、产品</w:t>
      </w:r>
      <w:bookmarkStart w:id="30" w:name="_GoBack"/>
      <w:bookmarkEnd w:id="30"/>
      <w:r>
        <w:rPr>
          <w:rFonts w:hint="eastAsia" w:ascii="宋体" w:hAnsi="宋体" w:eastAsia="宋体" w:cs="宋体"/>
          <w:color w:val="000000"/>
          <w:kern w:val="0"/>
          <w:sz w:val="24"/>
          <w:szCs w:val="24"/>
          <w:lang w:val="en-US" w:eastAsia="zh-CN" w:bidi="ar"/>
        </w:rPr>
        <w:t>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r w14:paraId="7F7B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9F989C6">
            <w:pPr>
              <w:pStyle w:val="2"/>
              <w:jc w:val="center"/>
              <w:rPr>
                <w:rFonts w:hint="eastAsia" w:ascii="宋体" w:hAnsi="宋体" w:eastAsia="宋体" w:cs="宋体"/>
                <w:sz w:val="24"/>
                <w:szCs w:val="24"/>
                <w:vertAlign w:val="baseline"/>
              </w:rPr>
            </w:pPr>
          </w:p>
        </w:tc>
        <w:tc>
          <w:tcPr>
            <w:tcW w:w="1689" w:type="dxa"/>
            <w:noWrap w:val="0"/>
            <w:vAlign w:val="center"/>
          </w:tcPr>
          <w:p w14:paraId="0680134A">
            <w:pPr>
              <w:pStyle w:val="2"/>
              <w:jc w:val="center"/>
              <w:rPr>
                <w:rFonts w:hint="eastAsia" w:ascii="宋体" w:hAnsi="宋体" w:eastAsia="宋体" w:cs="宋体"/>
                <w:sz w:val="24"/>
                <w:szCs w:val="24"/>
                <w:vertAlign w:val="baseline"/>
              </w:rPr>
            </w:pPr>
          </w:p>
        </w:tc>
        <w:tc>
          <w:tcPr>
            <w:tcW w:w="1689" w:type="dxa"/>
            <w:noWrap w:val="0"/>
            <w:vAlign w:val="center"/>
          </w:tcPr>
          <w:p w14:paraId="55AF8A79">
            <w:pPr>
              <w:pStyle w:val="2"/>
              <w:jc w:val="center"/>
              <w:rPr>
                <w:rFonts w:hint="eastAsia" w:ascii="宋体" w:hAnsi="宋体" w:eastAsia="宋体" w:cs="宋体"/>
                <w:sz w:val="24"/>
                <w:szCs w:val="24"/>
                <w:vertAlign w:val="baseline"/>
              </w:rPr>
            </w:pPr>
          </w:p>
        </w:tc>
        <w:tc>
          <w:tcPr>
            <w:tcW w:w="1689" w:type="dxa"/>
            <w:noWrap w:val="0"/>
            <w:vAlign w:val="center"/>
          </w:tcPr>
          <w:p w14:paraId="12BB4043">
            <w:pPr>
              <w:pStyle w:val="2"/>
              <w:jc w:val="center"/>
              <w:rPr>
                <w:rFonts w:hint="eastAsia" w:ascii="宋体" w:hAnsi="宋体" w:eastAsia="宋体" w:cs="宋体"/>
                <w:sz w:val="24"/>
                <w:szCs w:val="24"/>
                <w:vertAlign w:val="baseline"/>
              </w:rPr>
            </w:pPr>
          </w:p>
        </w:tc>
        <w:tc>
          <w:tcPr>
            <w:tcW w:w="1689" w:type="dxa"/>
            <w:noWrap w:val="0"/>
            <w:vAlign w:val="center"/>
          </w:tcPr>
          <w:p w14:paraId="7BF46922">
            <w:pPr>
              <w:pStyle w:val="2"/>
              <w:jc w:val="center"/>
              <w:rPr>
                <w:rFonts w:hint="eastAsia" w:ascii="宋体" w:hAnsi="宋体" w:eastAsia="宋体" w:cs="宋体"/>
                <w:sz w:val="24"/>
                <w:szCs w:val="24"/>
                <w:vertAlign w:val="baseline"/>
              </w:rPr>
            </w:pPr>
          </w:p>
        </w:tc>
        <w:tc>
          <w:tcPr>
            <w:tcW w:w="1689" w:type="dxa"/>
            <w:noWrap w:val="0"/>
            <w:vAlign w:val="center"/>
          </w:tcPr>
          <w:p w14:paraId="64C14CEA">
            <w:pPr>
              <w:pStyle w:val="2"/>
              <w:jc w:val="center"/>
              <w:rPr>
                <w:rFonts w:hint="eastAsia" w:ascii="宋体" w:hAnsi="宋体" w:eastAsia="宋体" w:cs="宋体"/>
                <w:sz w:val="24"/>
                <w:szCs w:val="24"/>
                <w:vertAlign w:val="baseline"/>
              </w:rPr>
            </w:pPr>
          </w:p>
        </w:tc>
      </w:tr>
      <w:tr w14:paraId="1283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4355FC9">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689" w:type="dxa"/>
            <w:noWrap w:val="0"/>
            <w:vAlign w:val="center"/>
          </w:tcPr>
          <w:p w14:paraId="2C755201">
            <w:pPr>
              <w:pStyle w:val="2"/>
              <w:jc w:val="center"/>
              <w:rPr>
                <w:rFonts w:hint="eastAsia" w:ascii="宋体" w:hAnsi="宋体" w:eastAsia="宋体" w:cs="宋体"/>
                <w:sz w:val="24"/>
                <w:szCs w:val="24"/>
                <w:vertAlign w:val="baseline"/>
              </w:rPr>
            </w:pPr>
          </w:p>
        </w:tc>
        <w:tc>
          <w:tcPr>
            <w:tcW w:w="1689" w:type="dxa"/>
            <w:noWrap w:val="0"/>
            <w:vAlign w:val="center"/>
          </w:tcPr>
          <w:p w14:paraId="42D0C81B">
            <w:pPr>
              <w:pStyle w:val="2"/>
              <w:jc w:val="center"/>
              <w:rPr>
                <w:rFonts w:hint="eastAsia" w:ascii="宋体" w:hAnsi="宋体" w:eastAsia="宋体" w:cs="宋体"/>
                <w:sz w:val="24"/>
                <w:szCs w:val="24"/>
                <w:vertAlign w:val="baseline"/>
              </w:rPr>
            </w:pPr>
          </w:p>
        </w:tc>
        <w:tc>
          <w:tcPr>
            <w:tcW w:w="1689" w:type="dxa"/>
            <w:noWrap w:val="0"/>
            <w:vAlign w:val="center"/>
          </w:tcPr>
          <w:p w14:paraId="18A9639E">
            <w:pPr>
              <w:pStyle w:val="2"/>
              <w:jc w:val="center"/>
              <w:rPr>
                <w:rFonts w:hint="eastAsia" w:ascii="宋体" w:hAnsi="宋体" w:eastAsia="宋体" w:cs="宋体"/>
                <w:sz w:val="24"/>
                <w:szCs w:val="24"/>
                <w:vertAlign w:val="baseline"/>
              </w:rPr>
            </w:pPr>
          </w:p>
        </w:tc>
        <w:tc>
          <w:tcPr>
            <w:tcW w:w="1689" w:type="dxa"/>
            <w:noWrap w:val="0"/>
            <w:vAlign w:val="center"/>
          </w:tcPr>
          <w:p w14:paraId="08C25274">
            <w:pPr>
              <w:pStyle w:val="2"/>
              <w:jc w:val="center"/>
              <w:rPr>
                <w:rFonts w:hint="eastAsia" w:ascii="宋体" w:hAnsi="宋体" w:eastAsia="宋体" w:cs="宋体"/>
                <w:sz w:val="24"/>
                <w:szCs w:val="24"/>
                <w:vertAlign w:val="baseline"/>
              </w:rPr>
            </w:pPr>
          </w:p>
        </w:tc>
        <w:tc>
          <w:tcPr>
            <w:tcW w:w="1689" w:type="dxa"/>
            <w:noWrap w:val="0"/>
            <w:vAlign w:val="center"/>
          </w:tcPr>
          <w:p w14:paraId="4A046240">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506375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25887"/>
      <w:bookmarkStart w:id="27" w:name="_Toc15429"/>
      <w:bookmarkStart w:id="28" w:name="_Toc1815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30</w:t>
            </w:r>
            <w:r>
              <w:rPr>
                <w:rFonts w:hint="eastAsia" w:ascii="宋体" w:hAnsi="宋体" w:eastAsia="宋体"/>
                <w:sz w:val="24"/>
                <w:szCs w:val="24"/>
                <w:lang w:val="en-US" w:eastAsia="zh-CN"/>
              </w:rPr>
              <w:t>分，其他供应商的价格分统一按照下列公式计算：报价得分=(基准价/投标报价)×</w:t>
            </w:r>
            <w:r>
              <w:rPr>
                <w:rFonts w:hint="eastAsia" w:ascii="宋体" w:hAnsi="宋体"/>
                <w:sz w:val="24"/>
                <w:szCs w:val="24"/>
                <w:lang w:val="en-US" w:eastAsia="zh-CN"/>
              </w:rPr>
              <w:t>30</w:t>
            </w:r>
            <w:r>
              <w:rPr>
                <w:rFonts w:hint="eastAsia" w:ascii="宋体" w:hAnsi="宋体" w:eastAsia="宋体"/>
                <w:sz w:val="24"/>
                <w:szCs w:val="24"/>
                <w:lang w:val="en-US" w:eastAsia="zh-CN"/>
              </w:rPr>
              <w:t>%×100（小数点后面保留两位小数，第三位四舍五入）。本项满分</w:t>
            </w:r>
            <w:r>
              <w:rPr>
                <w:rFonts w:hint="eastAsia" w:ascii="宋体" w:hAnsi="宋体"/>
                <w:sz w:val="24"/>
                <w:szCs w:val="24"/>
                <w:lang w:val="en-US" w:eastAsia="zh-CN"/>
              </w:rPr>
              <w:t>30</w:t>
            </w:r>
            <w:r>
              <w:rPr>
                <w:rFonts w:hint="eastAsia" w:ascii="宋体" w:hAnsi="宋体" w:eastAsia="宋体"/>
                <w:sz w:val="24"/>
                <w:szCs w:val="24"/>
                <w:lang w:val="en-US" w:eastAsia="zh-CN"/>
              </w:rPr>
              <w:t>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分,全部满足得基准分</w:t>
            </w: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”标注的技术参数，需在投标文件中提供以下技术证明文件之一（包括医疗器械注册证、第三方检测报告、产品说明书或技术白皮书或产品彩页）予以证明，否则，评委会视为技术参数出现负偏离。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421B5367">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10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多功能床</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多功能床</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7E60100B">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 xml:space="preserve">根据投标人针对本项目的实施方案(包括但不限于设备选型、供货方案、安装调试方案等)进行评分：（本项满分5分） </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（1）实施方案完整详细，可行性、实用性、针对性强的，得5分； </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（2）实施方案完整详细，适合本项目采购需求，具有可行性、实用性、针对性，得3分； </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（3）实施方案有待提升，基本适合本项目采购需求，可行性、实用性、针对性待完善的，得1分； </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125D1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D945C0F">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58F504E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cs="宋体"/>
                <w:bCs/>
                <w:color w:val="auto"/>
                <w:kern w:val="2"/>
                <w:sz w:val="24"/>
                <w:szCs w:val="24"/>
                <w:highlight w:val="none"/>
                <w:lang w:val="en-US" w:eastAsia="zh-CN" w:bidi="ar-SA"/>
              </w:rPr>
              <w:t>使用成本</w:t>
            </w:r>
          </w:p>
        </w:tc>
        <w:tc>
          <w:tcPr>
            <w:tcW w:w="389" w:type="dxa"/>
            <w:vAlign w:val="center"/>
          </w:tcPr>
          <w:p w14:paraId="767E7DAF">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cs="宋体"/>
                <w:bCs/>
                <w:color w:val="auto"/>
                <w:sz w:val="24"/>
                <w:szCs w:val="24"/>
                <w:highlight w:val="none"/>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647DD07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p w14:paraId="2AAFD89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（4）其余情况或未提供，得0分。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D46EB56-BC59-46DC-8FEA-305BEB4B2944}"/>
  </w:font>
  <w:font w:name="黑体">
    <w:panose1 w:val="02010609060101010101"/>
    <w:charset w:val="86"/>
    <w:family w:val="auto"/>
    <w:pitch w:val="default"/>
    <w:sig w:usb0="800002BF" w:usb1="38CF7CFA" w:usb2="00000016" w:usb3="00000000" w:csb0="00040001" w:csb1="00000000"/>
    <w:embedRegular r:id="rId2" w:fontKey="{C09419CF-61B4-49F3-913D-D0B64D065B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1CB52E87-56AD-4260-A1A7-26C38AD8D13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5F95CA19-BC23-4A15-AF75-92444D9443D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2E137F7"/>
    <w:rsid w:val="0C2C68DF"/>
    <w:rsid w:val="0D160A9A"/>
    <w:rsid w:val="2D9E6759"/>
    <w:rsid w:val="374C14CD"/>
    <w:rsid w:val="3B48408B"/>
    <w:rsid w:val="48914E28"/>
    <w:rsid w:val="55006BAB"/>
    <w:rsid w:val="56723AD9"/>
    <w:rsid w:val="64DE2339"/>
    <w:rsid w:val="6C0A315F"/>
    <w:rsid w:val="6C556F55"/>
    <w:rsid w:val="7C52743D"/>
    <w:rsid w:val="7DDD5A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1106</Words>
  <Characters>1175</Characters>
  <Lines>0</Lines>
  <Paragraphs>0</Paragraphs>
  <TotalTime>3</TotalTime>
  <ScaleCrop>false</ScaleCrop>
  <LinksUpToDate>false</LinksUpToDate>
  <CharactersWithSpaces>1210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2025-11-10T07:05:28Z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